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23 196 vom 16. Juni 2025</w:t>
      </w:r>
    </w:p>
    <w:p>
      <w:r>
        <w:t>VS Kantonsgericht, 2025-06-16, FR</w:t>
      </w:r>
    </w:p>
    <w:p>
      <w:r>
        <w:rPr>
          <w:b/>
        </w:rPr>
        <w:t xml:space="preserve">Quelle: </w:t>
      </w:r>
      <w:r>
        <w:t>https://mcp.opencaselaw.ch/entscheid/vs_gerichte_C1 23 196</w:t>
      </w:r>
    </w:p>
    <w:p>
      <w:r>
        <w:t>FR: VS_GERICHTE C1 23 196 du 16 juin 2025</w:t>
      </w:r>
    </w:p>
    <w:p>
      <w:r>
        <w:t>IT: VS_GERICHTE C1 23 196 del 16 giugno 2025</w:t>
      </w:r>
    </w:p>
    <w:p>
      <w:pPr>
        <w:pStyle w:val="Heading2"/>
      </w:pPr>
      <w:r>
        <w:t>Regeste</w:t>
      </w:r>
    </w:p>
    <w:p>
      <w:r>
        <w:t>C1 23 196 ARRET DU 16 JUIN 2025 Tribunal cantonal du Valais Cour civile I Composition : Camille Rey-Mermet, présidente ; Bénédicte Balet, juge, Lionel Seeberger, juge suppléant ; Ludovic Rossier, greffier en la cause 1. T _________, représenté par Maître Aba Neeman, avocat à Monthey, 2. U _________, et 3. V _________, tous deux représentés par Maître Azzedine Diab, avocat à Monthey, tous trois appelants, appelés par voie de jonction et défendeurs, et 4. W _________, représenté par Maître Julien Lattion, avocat à Martigny, 5. X _________, représenté par Maître Laetitia Dénis, avocate à Sion, 6. Y _________, représenté par Maître Damien Hottelier, avocat à Monthey, tous les trois</w:t>
      </w:r>
    </w:p>
    <w:p>
      <w:pPr>
        <w:pStyle w:val="Heading2"/>
      </w:pPr>
      <w:r>
        <w:t>Erwägungen</w:t>
      </w:r>
    </w:p>
    <w:p>
      <w:r>
        <w:rPr>
          <w:b/>
        </w:rPr>
        <w:t>E. 3</w:t>
      </w:r>
    </w:p>
    <w:p>
      <w:r>
        <w:t>Dans leur appel commun (p. 5 ss), les défendeurs V _________ et U _________ se prévalent pour la première fois de l’exception de prescription. Ils font valoir à titre principal que la prescription est une question de droit et non de fait, qui n’est dès lors pas soumise aux règles restrictives d’admission des nova en procédure d’appel (cf. art. 317 CPC). Subsidiairement, si cette disposition devait néanmoins trouver application, il conviendrait selon eux de retenir qu’ils n’étaient pas représentés par un mandataire professionnel en première instance, que le juge de district s’est contenté de leur adresser par courrier les différents actes des autres parties, ne les a pas auditionnés et a failli à son devoir de les interpeller (cf. art. 56 CPC) quant au fait que la créance de la demanderesse était</w:t>
      </w:r>
    </w:p>
    <w:p>
      <w:r>
        <w:t>- 35 - prescrite (art. 142 CO), respectivement de leur nommer un mandataire qualifié (art. 69 CPC). Dans un tel contexte, il ne saurait leur être reproché de n’avoir pas fait preuve de la diligence requise (cf. art. 317 al. 1 let. b CPC) en attendant la procédure d’appel pour exciper du moyen tiré de la prescription.</w:t>
      </w:r>
    </w:p>
    <w:p>
      <w:r>
        <w:rPr>
          <w:b/>
        </w:rPr>
        <w:t>E. 3.1.1</w:t>
      </w:r>
    </w:p>
    <w:p>
      <w:r>
        <w:t>En vertu de l’art. 56 CPC, le tribunal interpelle les parties lorsque leurs actes ou déclarations sont peu clairs, contradictoires, imprécis ou manifestement incomplets et leur donne l'occasion de les clarifier et de les compléter. Le devoir d'interpellation du juge constitue une atténuation de la maxime des débats (cf. art. 55 al. 1 CPC). Le but de l'art. 56 CPC est ainsi d'éviter qu'une partie ne soit déchue de ses droits parce que ses allégués de fait et ses offres de preuves sont affectés de défauts manifestes. De jurisprudence constante, le devoir d'interpellation du juge ne doit pas servir à réparer des négligences procédurales. L'intervention du juge ne doit pas non plus avantager unilatéralement une partie et aboutir à une violation du principe de l'égalité des armes. L'interpellation est limitée par le cadre du procès ; le juge ne doit pas rendre les parties attentives à des faits qu'elles n'ont pas pris en considération, ni les aider à mieux présenter leur cause, ni leur suggérer des arguments pertinents (ATF 146 III 413 consid. 4.2 ; arrêt 4A_482/2023 du 31 octobre 2023 consid. 3.1). Une transgression du devoir d’interpellation constitue une violation du droit et donc un motif d’appel ou de recours au sens des art. 310 let. a CPC, respectivement 320 let. a CPC (SUTTER-SOMM/ SEILER, in Handkommentar zur Schweizerischen Zivilprozessordnung, 2021, n. 14 ad art. 56 CPC). Le devoir d’interpellation concerne les actes et les déclarations des parties, c’est-à-dire leurs conclusions, requêtes de procédure, allégués ou offres de preuves (CHABLOZ, in Chabloz et al. [éd.], Code de procédure civile, Petit commentaire, 2021, n. 8 ad art. 56 CPC ; cf. ég. arrêt 4A_375/2015 du 26 janvier 2016 consid. 7.1, non publié in ATF 142 III 10). Le devoir d’interpellation présuppose qu’il y ait un argument ("Vorbringen") d'une partie, c'est-à-dire un acte de procédure, introduit à temps (cf. arrêt 5A_882/2022 du 19 octobre 2023 consid. 3.2 in fine et la réf.) ; s'il n'y a pas d'argument, il n'y a pas de question à poser du juge (HURNI, Berner Kommentar, 2012, n. 9 ad art. 56 CPC ; SARBACH, Die richterliche Aufklärungs- und Fragepflicht im schweizerischen Zivilprozessrecht, 2003, p. 145). L'art. 56 CPC n'oblige notamment pas le tribunal à attirer d'office l'attention des parties sur des actes de procédure utiles qu'elles n'ont même pas commencés à faire valoir. En matière d’allégations, cela signifie que les faits doivent être allégués au moins de manière allusive pour que l'obligation du tribunal de poser des questions s'applique ; un exposé à tout le moins rudimentaire des faits doit être présenté (HURNI,</w:t>
      </w:r>
    </w:p>
    <w:p>
      <w:r>
        <w:t>- 36 - op. cit., n. 10 ad art. 56 CPC ; GEHRI, in Basler Kommentar, Schweizerische Zivilprozessordnung, 4e éd. 2024, n. 8 ad art. 56 CPC).</w:t>
      </w:r>
    </w:p>
    <w:p>
      <w:r>
        <w:rPr>
          <w:b/>
        </w:rPr>
        <w:t>E. 3.1.2.1</w:t>
      </w:r>
    </w:p>
    <w:p>
      <w:r>
        <w:t>En procédure civile, une exception est un droit formateur particulier qui donne au débiteur le droit de refuser totalement ou partiellement la prestation due. On cite au nombre des exemples classiques la prescription ou l’exception d’inexécution (TERCIER/ PICHONNAZ, Le droit des obligations, 7e éd. 2024, no 314, p. 86). A teneur de l'art. 142 CO, le juge ne peut suppléer d'office le moyen résultant de la prescription. Le débiteur doit donc soulever l'exception de prescription dans le procès, en la forme et au stade définis par le droit procédural (ATF 119 III 108 consid. 3a ; arrêt 4A_327/2021 du 9 décembre 2021 consid. 4.1). L'exception de prescription n'est pas l'expression d'un point de vue juridique susceptible d'être examiné librement ; elle suppose bien plutôt une déclaration de volonté et, partant, la résolution d'une question de fait consistant à déterminer si – et quand – elle a été émise (ATF 138 II 169 consid. 3.1 ; arrêt 5A_586/2008 du 22 octobre 2008 consid. 5, in RSPC 2009, p. 32 ss). En conséquence, il a été jugé que la présentation de ce moyen de défense en appel relève de l'art. 317 al. 1 CPC (arrêt 4A_512/2019 du 12 novembre 2020 consid. 4.1.3 et les réf., in SJ 2020 I p. 157 ss). La doctrine majoritaire dresse la même analyse. Du moment que l'exception de prescription doit être introduite dans le procès au même titre que des allégations de fait, il lui paraît justifié d'assimiler celle-là à celles-ci (TAPPY, in Commentaire romand, Code de procédure civile, 2e éd. 2019, n. 41 ad art. 221 CPC et n. 21 ad art. 229 CPC ; WILDHABER/DEDE, Berner Kommentar, 2021, n. 13 ad art. 142 CO). La doctrine relève aussi que les restrictions entourant l'introduction de nova découlent du principe de concentration (ou maxime éventuelle), lequel impose en substance d'"abattre ses cartes" au début du procès ; ces réserves doivent logiquement prévaloir pour l'exception de prescription, puisqu'il s'agit d'un droit du débiteur dont le juge ne peut tenir compte d'office (STAUBER, in Kunz et al. [Hrsg.], ZPO - Rechtsmittel, Berufung und Beschwerde, 2013, n. 14 ad art. 317 CPC ; LEUENBERGER, in Sutter-Somm et al. [Hrsg.], Kommentar zur Schweizerischen Zivilprozessordnung, 4e éd. 2025, n. 1 et 14b ad art. 229 CPC ; DÄPPEN, in Basler Kommentar, Obligationenrecht I, 7e éd. 2020, n. 4 ad art. 142 CO). En résumé, l'exception de prescription doit être introduite dans les mêmes délais que les allégations de fait et satisfaire le cas échéant au régime restrictif des nova (arrêt 4A_512/2019 précité consid. 4.2), tel que prévu à l’art. 317 CPC pour la procédure d’appel.</w:t>
      </w:r>
    </w:p>
    <w:p>
      <w:r>
        <w:t>- 37 -</w:t>
      </w:r>
    </w:p>
    <w:p>
      <w:r>
        <w:rPr>
          <w:b/>
        </w:rPr>
        <w:t>E. 3.1.2.2</w:t>
      </w:r>
    </w:p>
    <w:p>
      <w:r>
        <w:t>L’absence de prise en compte d’office de l’exception de prescription est en partie relativisée selon certains par le devoir d’interpellation du juge au sens de l’art. 56 CPC. Savoir si, en vertu de cette disposition, le juge a le devoir de rendre attentif le défendeur (non représenté par un avocat) à la possibilité d’invoquer l’exception de prescription n’a pas été tranché définitivement par le Tribunal fédéral et est disputé en doctrine (favorables : BERTI, Zürcher Kommentar, 3e éd. 2002, n. 19 ad art. 142 CO ; SPIRO, Die Begrenzung privater Rechte durch Verjährungs- Verwirkungs- und Fatal- fristen, 1975, p. 557 s. ; opposés : cf. DÄPPEN, op. cit., n. 3a ad art. 142 CO ; PICHONNAZ, in Commentaire romand, Code des obligations I, 3e éd. 2021, n. 5 ad art. 142 CO ; BUCHER, Schweizerisches Obligationenrecht, Allgemeiner Teil, 2e éd. 1980, p. 447 ; BOHNET, La prescription en procédure civile, in Bohnet/Dupont [éd.], Le nouveau droit de la prescription, 2019, p. 157 ss, spéc. p. 167 ; sans position, cf. GAUCH/SCHLUEP/EM- MENEGGER, Schweizerisches Obligationenrecht, Allgemeiner Teil, Band II, 11e éd. 2020, no 3363, p. 280 s. ; KILLIAS/WIGET, in Handkommentar zum Schweizer Privatrecht, 4e éd. 2025, n. 1 art. 142 CO). Pour les tenants du devoir d’interpellation, l’art. 142 CO n'interdit pas au juge d'inciter le débiteur à soulever l'exception en lui posant des questions à ce sujet (cf. SPIRO, loc. cit) ; la prescription devrait par ailleurs, dans la mesure du possible, contribuer à décharger les tribunaux (cf. BERTI, loc. cit.). En revanche, pour les auteurs opposés à cette solution, rendre attentif le défendeur à la prescription revient à l’aviser d’un droit qu’il n’a pas exercé, et non à clarifier ou compléter des faits au sens de l’art. 56 CPC (BOHNET, loc. cit.). Cela mettrait par ailleurs en danger le devoir d’impartialité du juge (GEHRI, op. cit., n. 15 ad art. 56 CPC ; SUTTER-SOMM/VON ARX, in Sutter-Somm et al. [Hrsg.], Kommentar zur Schweizerischen Zivilpro- zessordnung, 4e éd. 2025, n. 43 ad art. 56 CPC). C’est pourquoi, de l’avis de la doctrine majoritaire, l’art. 142 CO empêche le juge de faire usage de son devoir d’interpellation, à peine de vider de sens cette disposition (DÄPPEN, loc. cit. ; cf. ég. PICHONNAZ, loc. cit. ; BUCHER, loc. cit. ; sur l’ensemble de la question, cf. WILDHABER/DEDE, op. cit., n. 11-12 ad art. 142 CO). Il convient de réserver l’hypothèse dans laquelle le défendeur s’est exprimé sur sa volonté de faire valoir l’exception de prescription, mais de manière peu claire ; le juge doit alors dans un tel cas lui demander de préciser ses allégués (BOHNET, op. cit., p. 167 in fine et s. ; WILDHABER/ DEDE, op. cit., n. 13 ad art. 142 CO).</w:t>
      </w:r>
    </w:p>
    <w:p>
      <w:r>
        <w:rPr>
          <w:b/>
        </w:rPr>
        <w:t>E. 3.1.3</w:t>
      </w:r>
    </w:p>
    <w:p>
      <w:r>
        <w:t>Aux termes de l'art. 69 al. 1 CPC, si une partie est manifestement incapable de procéder elle-même, le tribunal peut l'inviter à commettre un représentant. Si la partie ne donne pas suite à cette injonction dans le délai imparti, le tribunal en désigne un. Cette</w:t>
      </w:r>
    </w:p>
    <w:p>
      <w:r>
        <w:t>- 38 - disposition doit être appliquée de manière restrictive et l'incapacité de procéder ne doit pas être admise à la légère (arrêts 5A_173/2024 du 9 octobre 2024 consid. 3.5.1 ; 5A_469/2019 du 17 novembre 2020 consid. 4.2). Le seul fait que la partie soit un laïc (i.e. un non-juriste) ne constitue pas à lui-seul un motif de procéder selon l’art. 69 al. 1 CPC (DOMEJ, in Oberhammer et al. [Hrsg.], Schweizerische Zivilprozessordnung, Kurzkommentar, 3e éd. 2021, n. 2a ad art. 69 CPC et les réf.). Cette disposition n’appréhende pas non plus le cas où le besoin d’un avocat est lié uniquement à la complexité de la cause ; elle n’a pas non plus vocation à s’appliquer si la partie ne comparaît pas ou ne manifeste aucun intérêt pour la cause (MAY CANELLAS, in Chabloz et al. [éd.], Code de procédure civile, Petit commentaire, 2021, n. 9 ad art. 69 CPC et les réf.). Lorsque les facultés d’une partie sont en cause, l’incapacité de postuler doit en principe ressortir de l’acte qu’elle a déposé (cf. arrêt 2E_2/2013 du 30 octobre 2014 consid. 5.4.3 [ad art. 41 LTF]) ou apparaître lors d’une audition (STAEHELIN/SCHWEIZER, in Sutter-Somm et al. [Hrsg.], Kommentar zur Schweizerischen Zivilprozessordnung, 4e éd. 2025, n. 6 ad art. 69 CPC ; MAY CANELLAS, op. cit., n. 8 ad art. 69 CPC). Le fait que la requête d'un profane semble lacunaire ne justifie pas en soi l'hypothèse qu'il ne peut pas mener lui- même son procès. Il faut par contre tenir compte, par exemple, d'une absence durable ou de problèmes de santé (arrêt 5A_618/2015 du 2 mars 2016 consid. 6.7 et la réf.). Le recours à l'art. 69 CPC ne permet pas au requérant de se décharger de la tâche de chercher lui-même un avocat prêt à le représenter et, le cas échéant, à déposer pour lui des demandes d'assistance judiciaire et à prendre d'autres mesures juridiques (arrêts 5A_173/2024 précité consid. 3.5.1 ; 5A_483/2018 du 23 octobre 2018 consid. 3.2).</w:t>
      </w:r>
    </w:p>
    <w:p>
      <w:r>
        <w:rPr>
          <w:b/>
        </w:rPr>
        <w:t>E. 3.2.1</w:t>
      </w:r>
    </w:p>
    <w:p>
      <w:r>
        <w:t>En l’occurrence, la demande du 20 novembre 2014 (accompagnée de ses annexes), ainsi que la requête d’assistance judiciaire du 20 novembre 2014 également et l’écriture ampliative du 16 décembre 2014, ont été envoyées sous pli recommandé le 9 janvier 2015 à l’ensemble des défendeurs (p. 150), dont V _________ (N_________, 1870 Monthey) et U _________ (O_________, 1870 Monthey). Au terme de l’ordonnance du 9 janvier 2015, les défendeurs ont été rendus attentifs au fait qu’à ce stade de la procédure, il leur était loisible de se déterminer uniquement sur la requête d’assistance judiciaire présentée par la demanderesse. Puis, par ordonnances du 23 septembre 2015 envoyées sous plis recommandés aux mêmes adresses que précédemment, toujours valables, V _________ (p. 218) et U _________ (p. 220) – de même que tous les autres défendeurs – ont été invités à</w:t>
      </w:r>
    </w:p>
    <w:p>
      <w:r>
        <w:t>- 39 - déposer leur réponse dans un délai de 30 jours, à peine de défaut. Si, pour U _________, il n’existe pas d’indices qu’il n’a pas retiré ce pli, tel est en revanche le cas de V _________, à qui l’ordonnance en question a été renvoyée en courrier A le 5 octobre 2015 (p. 224 s.). En l’absence de dépôt, notamment par V _________ et U _________, d’une réponse dans le (premier) délai imparti, le juge de district a, par ordonnance du 27 novembre 2015 (p. 302), fixé aux intéressés un dernier délai de dix jours pour produire une réponse, à peine des conséquences prévues à l’art. 223 al. 2 CPC, à savoir qu’une décision finale serait rendue si la cause était en état de jugée, à défaut de quoi les parties seraient citées aux débats principaux. Dans l’intervalle, les réponses déposées les 20 et 23 novembre 2015 par les conseils de X _________ (p. 243 ss), respectivement Y _________ (p. 256 ss), dans le cadre desquelles les intéressés invoquaient expressément l’exception de prescription, ont été communiquées les 23, respectivement 24 novembre 2015 à l’ensemble des parties. V _________ et U _________ se sont encore vu notifier, notamment, le 17 décembre 2015 un exemplaire du "mémoire- réponse" de W _________ (p. 321 ss), excipant également de la prescription, ainsi que le 1er septembre 2016 la citation pour les débats d’instruction aménagés le 22 novembre 2016 (p. 382), auxquels ils n’ont pas assisté (p. 402). Autrement dit, les défendeurs ont adopté la politique de l’autruche durant toute la procédure de première instance. Faute de tout acte ou déclaration émanant des intéressés au sens de l’art. 56 CPC, le juge de première instance n’avait pas à interpeller les défendeurs, en particulier en attirant leur attention quant à la possibilité de soulever l’exception de prescription pour s’opposer aux prétentions de la demanderesse. Sur ce point, la juridiction d’appel fait siens les arguments mis en avant par la doctrine majoritaire, à savoir qu’un tel mode de faire reviendrait à ce que le juge suggère à la partie défenderesse de faire usage d’un moyen qu’elle n’a pas invoqué – et non à simplement clarifier ou compléter des actes ou déclarations, comme le prévoit l’art. 56 CPC –, et favorise ainsi une partie au détriment de l’autre, en violation de son devoir d’impartialité (cf. supra, consid. 3.1.2.2).</w:t>
      </w:r>
    </w:p>
    <w:p>
      <w:r>
        <w:rPr>
          <w:b/>
        </w:rPr>
        <w:t>E. 3.2.2</w:t>
      </w:r>
    </w:p>
    <w:p>
      <w:r>
        <w:t>Par ailleurs, contrairement à ce qu’affirment à titre principal les défendeurs V _________ et U _________ dans leur appel, l’exception de prescription ne correspond pas à une pure question de droit, mais présuppose une manifestation de volonté qui ressortit aux faits et dont la présentation, pour la première fois, en instance d’appel doit obéir aux exigences de l’art. 317 al. 1 CPC (cf. supra, consid. 3.1.2.1). A suivre le raisonnement des défendeurs V _________ et U _________ dans leur appel (p. 4 et 6), en appliquant au régime de la responsabilité civile la durée de la prescription</w:t>
      </w:r>
    </w:p>
    <w:p>
      <w:r>
        <w:t>- 40 - pénale du droit pénal des mineurs (cf. art. 60 al. 2 CO en lien avec l’art. 36 al. 1 let. a DPMin), l’action civile à l’égard de tous les prévenus encore mineurs à l’époque de l’agression du 4 octobre 2008 – ce qui était précisément leur cas – était prescrite quand la demanderesse a ouvert action, le 11 juillet 2014 (cf. ég. jugement entrepris, consid. 5.2, p. 29 s.). Les faits invoqués en appel à l’appui de l’exception de prescription, tout comme cette dernière, ne constituent ainsi pas des éléments nouveaux (cf. vrais nova) – survenus postérieurement au début des délibérations ayant conduit au prononcé du jugement de première instance –, mais bien des éléments qui auraient pu être exposés avant si les appelants avaient fait preuve de la diligence requise (cf. pseudo nova ; cf. arrêt 4A_439/2023 du 9 septembre 2024 consid. 5.1.2 et les réf.), en prenant activement part à la procédure de première instance. Les conditions de l’art. 317 al. 1 CPC n’étant pas remplies, les défendeurs V _________ et U _________ sont forclos à se prévaloir, pour la première fois en instance d’appel, de la prescription de l’action civile à leur égard.</w:t>
      </w:r>
    </w:p>
    <w:p>
      <w:r>
        <w:rPr>
          <w:b/>
        </w:rPr>
        <w:t>E. 3.2.3</w:t>
      </w:r>
    </w:p>
    <w:p>
      <w:r>
        <w:t>Le magistrat de district n’avait pas davantage de motif à inviter, en application de l’art. 69 CPC, les défendeurs non déjà assistés d’un avocat à désigner un mandataire professionnellement qualifié afin de les aider à trouver leur voie dans le cadre de cette procédure civile, soumise à la maxime des débats. A cet égard, le premier juge ne disposait d’aucun indice du fait que les intéressés n’auraient pas été en mesure de consulter eux-mêmes un avocat. Les plis envoyés à leur adresse à Monthey, contenant les actes de procédure ainsi que la citation aux débats d’instruction du 22 novembre 2016 auxquels ils n’ont pas comparu, ont été retirés par leurs destinataires, qui n’étaient ainsi pas absents de manière durable de leur domicile. Tous deux nés en 1992 à Monthey – et dépeints dans la lettre du 4 juin 2009 du Tribunal des mineurs déposée sous pièce 50 (p. 279 ss) comme, à l’époque, étant étudiant pour l’un (cf. V _________) et apprenti mécanicien pour l’autre (cf. U _________) –, les deux appelants étaient supposés comprendre, au moins dans les grandes lignes, des documents reçus en français qu’ils devaient faire face à des prétentions civiles importantes de la part de Z _________, formulées devant le tribunal du district de Monthey. Ils ont ainsi délibérément choisi de ne pas intervenir dans le cadre de la procédure de première instance et doivent dès lors en assumer les conséquences.</w:t>
      </w:r>
    </w:p>
    <w:p>
      <w:r>
        <w:t>- 41 -</w:t>
      </w:r>
    </w:p>
    <w:p>
      <w:r>
        <w:rPr>
          <w:b/>
        </w:rPr>
        <w:t>E. 3.2.4</w:t>
      </w:r>
    </w:p>
    <w:p>
      <w:r>
        <w:t>Il suit de ce qui précède que les moyens tirés de la violation des art. 56 et 69 CPC sont dénués de fondement et ne peuvent qu’être écartés. Vu ce résultat – et l’irrecevabilité des conclusions prises tant par le défendeur T _________ (cf. supra, consid. 1.3.1 in fine) que par la demanderesse au sujet de l’exception de prescription invoquée avec succès devant la juridiction précédente par les défendeurs W _________, Y _________ et X _________ (cf. supra, consid. 1.3.2.2 et jugement déféré, consid. 5.2, p. 28 s.) –, il n’y a pas matière à examiner le grief relatif au calcul du délai de prescription (cf. art. 60 CO [dans sa teneur antérieure au 1er janvier 2020, applicable à la cause par renvoi de l’art. 49 al. 1 Tit. final CC]).</w:t>
      </w:r>
    </w:p>
    <w:p>
      <w:r>
        <w:rPr>
          <w:b/>
        </w:rPr>
        <w:t>E. 3.3</w:t>
      </w:r>
    </w:p>
    <w:p>
      <w:r>
        <w:t>; arrêt 4A_543/2015 du 14 mars 2016 consid. 7). Conformément aux calculs de l’expert judiciaire effectués à l’aide du programme Leonardo (cf. supra, consid. 2.6.4.3), qui tiennent dûment compte des principes qui précédent, le dommage de rente a été arrêté à 22'302 francs. Dès lors que le grief des appelants selon lequel la demanderesse aurait pu poursuivre son activité plus rémunératrice de conseillère en vente et ne subir aucun préjudice économique a été écarté, les paramètres de calcul du dommage de rente ne s’en trouvent pas modifiés ; ils tiennent dûment compte que la différence entre les prestations AVS que la demanderesse aurait pu percevoir une fois parvenue à la retraite comme ébéniste et celles auxquelles elle pourrait prétendre au terme d’une carrière de polydesigner 3D se monte à 22'302 francs. Le bien-fondé de cette prétention est confirmé.</w:t>
      </w:r>
    </w:p>
    <w:p>
      <w:r>
        <w:rPr>
          <w:b/>
        </w:rPr>
        <w:t>E. 4</w:t>
      </w:r>
    </w:p>
    <w:p>
      <w:r>
        <w:t>octobre 2008, la demanderesse : - s’est retrouvée en incapacité totale de travailler du 4 octobre au 2 novembre 2008, alors qu’elle était stagiaire ébéniste auprès de Valmis SA, puis a débuté une activité d’ébéniste à 100 % dès le 3 novembre 2008 dans l’entreprise de Gilles Broccard (cf. supra, consid. 2.2.1 et 2.3.1) ; - a, après avoir connu une nouvelle incapacité totale de travailler dès le 12 février 2009, subi le 2 mars suivant une opération pour une lésion du ligament triangulaire du carpe gauche (TFCC) – ayant pour origine l’événement traumatique du 4 octobre 2008 –, puis suivi des mesures de réadaptation jusqu’au 30 juillet 2009, percevant dans l’intervalle des indemnités journalières LAA, avant de reprendre dès le mois d’août son activité d’ébéniste chez Gilles Broccard (cf. supra, consid. 2.3.1 et 2.5.3.3) ; - s’est derechef retrouvée en incapacité totale de travailler le 13 avril 2010 pour une durée indéterminée, et obtenu des indemnités journalières LAA (cf. supra, consid. 2.3.1 in fine), puis a subi, notamment dès le mois de mai, des examens médicaux auprès de la SUVA, au terme desquels la question d’un reclassement professionnel a été évoquée, sachant qu’un "retour vers une pleine capacité dans une activité combinant menuiserie et ébénisterie paraissait difficilement envisageable" (cf. supra, consid. 2.3.2) ; - a, par décision du 2 février 2011 de l’OAI, bénéficié d’un reclassement afin de suivre, pendant quatre ans, chez Zenhäusern SA un apprentissage de polydesigner 3D, à l’issue duquel elle a obtenu le CFC correspondant fin juin 2015 (cf. supra, consid. 2.3.4 et 2.6.1) ; - a ensuite connu une période de chômage de dix mois, puis a exercé une activité de conseillère en vente automobile auprès d’Emil Frey SA du 1er mai 2016 au 31 mai 2018 (pour un revenu mensuel oscillant entre 5000 et 5500 fr.), puis de</w:t>
      </w:r>
    </w:p>
    <w:p>
      <w:r>
        <w:t>- 46 - secrétaire d’accueil du 1er juin au 30 septembre 2018, pour un salaire de 4800 fr. par mois (cf. supra, consid. 2.6.2) ; - a œuvré de novembre 2018 à avril 2019 comme vendeuse dans une boutique de prêt-à-porter pour une rémunération de 4000 fr. par mois, puis comme guide- conseil chez M_________, pour un salaire mensuel de 3300 fr. nets (cf. supra, consid. 2.6.3). Il a également été circonscrit : - que, conformément aux résultats jugés probants de l’expertise médicale administrée, la demanderesse dispose d’une capacité de travail nulle dans son activité initiale d’ébéniste à la suite de l’agression du 4 octobre 2008, mais entière dans la profession apprise de polydesigner 3D, respectivement dans celle de vendeuse effectivement exercée au moment où le rapport a été rendu (cf. supra, consid. 2.5.2 et 2.5.3) ; - qu’en effet, un lien de causalité – naturelle et adéquate – existe entre l’agression en cause auquel ont, notamment, participé activement les défendeurs et appelants de manière illicite, et les périodes pendant lesquelles la demanderesse s’est retrouvée en incapacité de travail en 2008 et 2009 ; - qu’un tel lien prévaut également entre l’événement traumatique du 4 octobre 2008 et la lésion du ligament triangulaire du carpe gauche (TFCC) ayant nécessité l’opération du 2 mars 2009 et la reconversion professionnelle de la lésée, vu l’incapacité médicalement constatée de cette dernière à pouvoir exercer à temps complet la profession d’ébéniste pour laquelle elle avait été formée (cf. supra, consid. 2.3.1 ss et 2.5.3 ss). Les conditions de base tirées de l’art. 46 CO, permettant à la demanderesse de réclamer aux défendeurs la réparation du préjudice économique subi consécutivement à l’agression du 4 octobre 2008 sont ainsi remplies, comme retenu à bon droit par la juridiction précédente (cf. jugement déféré, consid. 6.2.1, p. 6.2.1, p. 34 s.). Celle-ci, suivant en cela l’option de l’expertise comptable (cf. supra, consid 2.6.4), a pris comme date déterminante pour distinguer la perte de gain passée de celle, future, le 1er janvier 2022, considérant qu’un "tel mode de faire permettra d’éviter de procéder à de nouveaux calculs avec le risque d’erreur que cela comporte" (cf. jugement de première instance, consid. 6.2.2, p. 38). Dans la mesure où aucune partie ne remet en</w:t>
      </w:r>
    </w:p>
    <w:p>
      <w:r>
        <w:t>- 47 - cause cette solution ni n’a fait valoir de faits nouveaux en seconde instance concernant la capacité de gain de la demanderesse depuis le prononcé du 14 août 2023, l’autorité d’appel retiendra cette même date du 1er janvier 2022 pour différencier le préjudice passé et futur.</w:t>
      </w:r>
    </w:p>
    <w:p>
      <w:r>
        <w:rPr>
          <w:b/>
        </w:rPr>
        <w:t>E. 4.1.1</w:t>
      </w:r>
    </w:p>
    <w:p>
      <w:r>
        <w:t>En cas de lésions corporelles, la partie qui en est victime a droit au remboursement des frais et aux dommages-intérêts qui résultent de son incapacité de travail totale ou partielle, ainsi que de l'atteinte portée à son avenir économique (art. 46 al. 1 CO). La loi fait ainsi une distinction entre la perte de gain actuelle – qui est éprouvée au jour de la décision de la juridiction cantonale devant laquelle une partie peut alléguer pour la dernière fois des faits nouveaux (ATF 125 III 14 consid. 2c) – et la perte de gain future, pour l'éventualité où l'incapacité de travail dure toujours parce que le lésé est devenu totalement ou partiellement invalide (arrêt 4A_481/2009 du 26 janvier 2010 consid. 3.2 ; WERRO/PERRITAZ, in Commentaire romand, Code des obligations I, 3e éd. 2021, n. 13 ad art. 46 CO). La perte de gain actuelle, soit celle subie jusqu'au prononcé du jugement, doit être compensée de façon concrète : le lésé recevra ce qu'il n'a effectivement pas pu gagner du fait de son invalidité, des intérêts compensatoires étant en outre fixés. La perte actuelle ("effective") est toutefois déterminée sur la base d'un calcul qui comporte la prise en compte d'éléments hypothétiques, tel que le travail que le lésé aurait pu faire si l'acte générateur de responsabilité n'était pas survenu (arrêt 4A_437/2017 du 14 juin 2018 consid. 4.2.1). La perte de gain future est indemnisée de manière différente puisqu'elle appelle le versement d'un montant capitalisé (donc escompté) ou d'une rente. Pour la capitalisation, il convient d'utiliser les tables et programmes à disposition (cf. Leonardo), qui tiennent compte de paramètres tels que le jour du calcul, le sexe et l'âge du lésé (arrêt 4A_437/2017 précité consid. 4.2.2 ; STAUFFER/SCHAETZLE/WEBER, Tables et programmes de capitalisation, Tome I, 6e éd. 2013, p. 112 ss). L'âge ouvrant le droit à une rente de vieillesse du premier pilier (AVS) correspond en règle générale pour toutes les catégories de travailleurs, c'est-à-dire pour les salariés comme pour les indépendants, à la limite temporelle de l'activité professionnelle (ATF 136 III 310 consid.</w:t>
      </w:r>
    </w:p>
    <w:p>
      <w:r>
        <w:t>- 43 - 4.2.2 ; pour des exceptions, cf. KESSLER, in Basler Kommentar, Obligationenrecht I, 7e éd. 2020, n. 9 ad art. 46 CO). Le calcul de la perte de gain future repose, plus encore que tout autre, sur une très importante abstraction (probabilités et estimations) ; à cet égard, l’art. 46 al. 1 CO est un cas d’application de l’art. 42 al. 2 CO (WERRO/PERRITAZ, op. cit., n. 13 in fine et les réf.).</w:t>
      </w:r>
    </w:p>
    <w:p>
      <w:r>
        <w:rPr>
          <w:b/>
        </w:rPr>
        <w:t>E. 4.1.2.1</w:t>
      </w:r>
    </w:p>
    <w:p>
      <w:r>
        <w:t>Le préjudice causé par les lésions corporelles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l'accident (ATF 131 III 360 consid. 5.1 et les réf. ; arrêt 4A_29/2018 du 18 mars 2019 consid. 3.2.2).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(ATF 131 III 360 consid. 5.1 ; 129 III 135 consid. 2.2). Le juge n'admettra une augmentation du revenu due à une promotion ou un changement d'activité que s'il existe des circonstances rendant ces faits vraisemblables (ATF 116 II 295 consid. 3a/aa ; arrêt 4A_695/2016 du 22 juin 2017 consid. 3.1) ; il en va de même pour d’éventuelles diminutions du revenu (cf. WERRO/ PERRITAZ, op. cit., n. 8 ad art. 46 CO ; FELLMANN/KOTTMANN, Schweizerisches Haftpflichtrecht, Band I, 2012, nos 1575-1577, p. 538 ss).</w:t>
      </w:r>
    </w:p>
    <w:p>
      <w:r>
        <w:rPr>
          <w:b/>
        </w:rPr>
        <w:t>E. 4.1.2.2</w:t>
      </w:r>
    </w:p>
    <w:p>
      <w:r>
        <w:t>Pour satisfaire à son devoir de diminuer le dommage (cf. art. 44 al. 1 CO), le lésé ne doit pas seulement prendre d'éventuelles dispositions propres à limiter l'accroissement futur du dommage ; il doit aussi, le cas échéant, mettre en œuvre les mesures qui sont de nature à réduire le dommage déjà survenu. A la suite de lésions corporelles, il s'agit par exemple de se soumettre à une opération chirurgicale ou à un traitement médical aptes à favoriser la guérison. Devenu invalide, le lésé doit aussi envisager un changement d'emploi ou de profession si cette mesure paraît indiquée à</w:t>
      </w:r>
    </w:p>
    <w:p>
      <w:r>
        <w:t>- 44 - l'issue d'une analyse approfondie de sa situation (arrêts 4C.83/2006 du 26 juin 2006 consid. 4, in JdT 2006 I p. 475 ss ; 4A_488/2010 du 21 janvier 2011 consid. 4.2 in fine). En principe, le juge (civil) doit, lors de l’évaluation d’un calcul hypothétique, prendre en compte le résultat des mesures de reclassement de l’assurance-invalidité (BREHM, Berner Kommentar, 5e éd. 2021, n. 58 ad art. 46 CO ; DEECKE/KURMANN, Gendanken zum haftpflichtrechtlichen Invalideneinkommen, in HAVE 2018 p. 379 ss, spéc. p. 391). La personne qui peut prétendre au reclassement en raison de son invalidité (cf. art. 17 al. 1 LAI) a droit à la formation complète qui est nécessaire dans son cas, si sa capacité de gain peut ainsi, selon toute vraisemblance, être sauvegardée ou améliorée de manière notable ; une mesure de reclassement ne saurait être interrompue de façon prématurée, aussi longtemps que le but de réadaptation visé peut, dans les limites de la proportionnalité, encore être atteint (ATF 139 V 399 consid. 5.5 et la réf.). L’autorité doit procéder à une analyse concrète de la situation. Elle doit se demander, en fonction de l'âge du lésé et de l'état du marché du travail, quelles sont ses chances réelles de trouver un emploi qui tient compte de ses limitations fonctionnelles. Elle doit également examiner en fonction de la formation, de l'expérience et de l'âge du lésé, si un tel changement d'activité peut réellement être exigé de lui (arrêt 4A_304/2012 du 14 novembre 2012 consid. 2.4, non publié in ATF 138 III 799 [ad art. 61 LCA] ; WERRO/ PERRITAZ, op. cit., n. 22a ad art. 46 CO ; BREHM, loc. cit.).</w:t>
      </w:r>
    </w:p>
    <w:p>
      <w:r>
        <w:rPr>
          <w:b/>
        </w:rPr>
        <w:t>E. 4.1.3</w:t>
      </w:r>
    </w:p>
    <w:p>
      <w:r>
        <w:t>La perte de gain correspond à la différence entre, d'une part, le revenu de valide (revenu hypothétique sans l'accident) et, d'autre part, le revenu d'invalide (revenu qui peut probablement être réalisé après l'accident) qui comprend les revenus qui découlent de la capacité de gain restante du lésé (arrêts 4A_437/2017 précité consid. 4.1 ; 4A_481/2009 précité consid. 4.2.5 ; cf. ég. ATF 129 III 135 consid. 2). Pour évaluer la perte de gain en question, il convient de prendre comme base de calcul le salaire net de la victime, ce qui signifie que la totalité des cotisations aux assurances sociales doivent être déduites du salaire brut déterminant, soit celles à l'AVS, à l'AI, au régime des APG et à l'assurance-chômage (AC) ; la déduction doit également porter sur les contributions du travailleur au deuxième pilier (cotisations LPP ; cf. ATF 136 III 222 consid. 4.1.1 ; 129 III 135 consid. 2.2). Le lésé ne peut réclamer au tiers responsable ou à son assurance responsabilité civile que la réparation du préjudice qui n'est pas couvert par les assurances sociales, lesquelles sont subrogées ex lege dans les droits du premier. Il en découle que les diverses prestations accordées par les assurances sociales doivent être déduites de</w:t>
      </w:r>
    </w:p>
    <w:p>
      <w:r>
        <w:t>- 45 - l'indemnisation du dommage que le lésé peut réclamer au responsable ou à son assureur (ATF 131 III 360 consid. 6.1 et les réf.). Ainsi en va-t-il, par exemple, des rentes d’invalidité et des indemnités journalières de l'assurance-accidents, par rapport à la perte de gain actuelle du lésé (cf. arrêt 4A_437/2017 précité consid. 4.3.2 in fine et les réf.).</w:t>
      </w:r>
    </w:p>
    <w:p>
      <w:r>
        <w:rPr>
          <w:b/>
        </w:rPr>
        <w:t>E. 4.2.1</w:t>
      </w:r>
    </w:p>
    <w:p>
      <w:r>
        <w:t>En l’espèce, il a été arrêté en fait que, consécutivement à l’agression subie le</w:t>
      </w:r>
    </w:p>
    <w:p>
      <w:r>
        <w:rPr>
          <w:b/>
        </w:rPr>
        <w:t>E. 4.2.2.1</w:t>
      </w:r>
    </w:p>
    <w:p>
      <w:r>
        <w:t>Sans l’événement du 4 octobre 2008, la demanderesse aurait tiré de son activité d’ébéniste de cette date jusqu’au 31 décembre 2021, vu les conditions contractuelles prévalant auprès de l’entreprise Gilles Broccard et celles résultant de la CCT pour les menuisiers, ébénistes et charpentiers, une rétribution de 875’833 fr. bruts (cf. supra, consid. 2.6.4.1). Aucune partie ne remet en cause en instance d’appel cette donnée, qui correspond au revenu passé de valide. Il en va différemment pour ce qui est du revenu passé d’invalide de la demanderesse. Durant ce même laps de temps, il a été arrêté en fait que les rémunérations tirées de ses activités lucratives successives d’ébéniste, de conseillère en vente automobile, de secrétaire d’accueil, de vendeuse en boutique puis de guide-conseil totalisaient la somme de 412'098 fr. bruts. Après imputation des cotisations sociales admissibles (AVS/AI/APG/AC/LPP [part employé] ; cf. supra, consid. 4.1.3) sur les revenus bruts de valide et d’invalide, il en résultait une différence – nette – de 404'120 francs. Une fois encore soustraites les prestations d’assurances LAA et AI perçues durant la même période en lien avec l’événement traumatique du 4 octobre 2008, par 264'322 fr. au total (montant non contesté), la perte de gain passée nette se monte à 139'797 francs (cf. supra, consid. 2.6.4.1).</w:t>
      </w:r>
    </w:p>
    <w:p>
      <w:r>
        <w:rPr>
          <w:b/>
        </w:rPr>
        <w:t>E. 4.2.2.2</w:t>
      </w:r>
    </w:p>
    <w:p>
      <w:r>
        <w:t>C’est à tort que, pour contester le revenu d’invalide retenu pour les années 2009 à 2011, les défendeurs V _________ et U _________ soutiennent dans leur appel, à l’appui de leur moyen pris d’une violation de l’art. 44 al. 1 CO, que la demanderesse n’a "pas usé de sa pleine capacité de travail (et de gain) dans un emploi adapté, dès le 1er août 2009". Si l’expertise médicale, dont la cour a fait siennes les conclusions, mentionnait que la capacité de travail de la demanderesse était "entière, dès le 1er août 2009, dans l’activité apprise de polydesigner 3D [ou] dans celle de vendeuse" (cf. supra, consid. 2.5.2.1), il ne saurait être fait grief à l’intéressée, sous l’angle de l’obligation de diminuer le dommage (cf. art. 44 al. 1 CO), d’avoir dans un premier temps voulu continuer à exercer sa profession d’ébéniste, pour laquelle elle était titulaire d’un CFC. Pour mémoire, il a été posé en fait que la reprise du travail, un mois après l’agression du 4 octobre 2008,</w:t>
      </w:r>
    </w:p>
    <w:p>
      <w:r>
        <w:t>- 48 - n’avait pas aggravé son état de santé, en particulier pour ce qui est de la lésion du ligament triangulaire du carpe gauche, traitée chirurgicalement le 2 mars 2009. La question d’un éventuel reclassement professionnel n’a été abordée que dans le rapport du 31 mai 2010 du Dr Crespo, médecin d’arrondissement de la SUVA, et l’état de santé de la demanderesse a fait l’objet d’investigations supplémentaires de la part de la SUVA jusqu’à l’automne 2010 (cf. supra, consid. 2.3.1 - 2.3.4). Les appelants sont d’ailleurs bien en peine d’indiquer concrètement l’activité professionnelle autre qu’ébéniste que la lésée aurait, selon eux, dû exercer dès le mois d’août 2009 et le revenu supérieur qu’elle aurait pu en retirer. Quant au reclassement professionnel comme polydesigner 3D, il a été décidé par l’OAI le 7 avril 2011, au terme d’un examen détaillé, entre autres facteurs, de l’état de santé et des aptitudes personnelles de la demanderesse (cf. supra, consid. 2.3.4). Il ne saurait par ailleurs être reproché à cette dernière d’avoir opté en 2011 pour une nouvelle formation dans une profession lui assurant une rétribution inférieure – selon les chiffres finalement retenus dans l’expertise comptable de 2021/2022 – à celle d’ébéniste. L’intéressée n’avait pas de raison de se douter que tel serait le cas au moment où la décision de reclassement a été prise en 2011, sachant par ailleurs qu’alors qu’elle venait d’obtenir son CFC de polydesigner 3D après quatre ans d’apprentissage, l’OAI lui a, par décision du 25 septembre 2015, refusé le droit à d’autres mesures de reclassement, en partant du principe que le revenu annuel de polydesigner pour l’année 2015 était de 66'225 fr. 45 et que son degré d’invalidité au sens de la LAI était nul (cf. supra, consid. 2.6.1). Au demeurant, ce montant correspond, à une centaine de francs près, à celui escompté pour un ébéniste en 2015, soit 67'691 fr. selon les données de l’expertise comptable (cf. supra, consid. 2.6.4.1).</w:t>
      </w:r>
    </w:p>
    <w:p>
      <w:r>
        <w:rPr>
          <w:b/>
        </w:rPr>
        <w:t>E. 4.2.2.3</w:t>
      </w:r>
    </w:p>
    <w:p>
      <w:r>
        <w:t>Le moyen de l’appelant T _________ selon lequel la période de chômage de dix mois que la demanderesse a connue de juillet 2015 à fin avril 2016 n’est pas en lien de causalité avec l’événement du 4 octobre 2008 est infondé. Si elle n’avait pas subi une atteinte à la santé l’empêchant d’exercer son activité d’ébéniste, la lésée n’aurait pas, après concertation avec l'OAI, entrepris une reconversion professionnelle comme polydesigner 3D. Elle ne se serait ensuite pas retrouvée sur le marché du travail une fois son CFC obtenu dans ce domaine. Il est par ailleurs notoire (cf. art. 151 CPC) qu’il peut être difficile pour un(e) apprenti(e) au sortir de sa formation de décrocher son premier emploi, en particulier quand il ou elle ne peut poursuivre sa carrière au sein de l’entreprise qui l’a formé(e). Il n’apparaît enfin pas que la demanderesse ait failli à ses incombances en matière de recherches d’emploi (cf. art.</w:t>
      </w:r>
    </w:p>
    <w:p>
      <w:r>
        <w:t>- 49 - 16 ss LACI), à défaut de quoi elle n’aurait pas perçu 27'436 fr. d’indemnités de l’assurance chômage (cf. supra, consid. 2.6.2). Partant, le revenu d’invalide retenu pour les années 2015 et 2016 (cf. supra, consid. 2.6.4.1), comprenant notamment les indemnités chômage qui précèdent, n’a pas lieu d’être revu au motif que la demanderesse aurait manqué à son devoir de minimiser le dommage dont elle demande aujourd’hui réparation.</w:t>
      </w:r>
    </w:p>
    <w:p>
      <w:r>
        <w:rPr>
          <w:b/>
        </w:rPr>
        <w:t>E. 4.2.2.4</w:t>
      </w:r>
    </w:p>
    <w:p>
      <w:r>
        <w:t>Toujours sous l’angle de l’art. 44 al. 1 CO, l’ensemble des défendeurs ayant interjeté appel voient une transgression de cette disposition dans le fait que la demanderesse a, selon eux, abandonné fin juin 2018 son poste de conseillère en vente automobile pour des activités moins rétribuées. L’argument tombe à faux pour la période immédiatement consécutive. Il a été arrêté qu’il n’était pas établi que la modification, avec effet le 1er juin 2018, des conditions de travail au sein d’Emil Frey SA – à savoir le passage d’un poste de conseillère en vente (avec un salaire tributaire, pour moitié, des commissions de vente) à celui de secrétaire d’accueil, avec un salaire inférieur (mais totalement fixe) et limité jusqu’au 30 septembre 2018 – était le fait de la demanderesse (cf. supra, consid. 2.6.2.2). On ne saurait en conséquence imputer un quelconque manquement à la demanderesse au regard de l’obligation de diminuer le dommage.</w:t>
      </w:r>
    </w:p>
    <w:p>
      <w:r>
        <w:rPr>
          <w:b/>
        </w:rPr>
        <w:t>E. 4.2.2.5</w:t>
      </w:r>
    </w:p>
    <w:p>
      <w:r>
        <w:t>Il en va différemment pour la période postérieure. On l’a vu, qu’il s’agisse de l’activité de vendeuse en boutique exercée jusqu’en avril 2019 ou de celle de guide- conseil chez M_________ dès la fin mai de la même année (cf. supra, consid. 2.6.3), les salaires mensuels retirés (soit 4000 fr., respectivement 3300 fr.) sont inférieurs à ceux attendus dans l’activité de polydesigner 3D, de 51'301 fr. par an en 2019 d’après l’expertise comptable (cf. supra, consid. 2.6.4.1), soit quelque 4275 fr. par mois. Les revenus estimés pour la profession de polydesigner 3D, dont la demanderesse a obtenu le CFC correspondant au terme de sa reconversion professionnelle motivée par l’événement du 4 octobre 2008, seront pris en considération pour le calcul du dommage en lieu et place de ceux effectivement réalisés, en partant du principe que l’intéressée aurait pu exercer cette profession dès 2020 (cf. supra, consid. 2.6.2.3). C’est en effet à compter de 2020 que les revenus d’invalide effectivement réalisés (48'935 fr. en 2020, puis 49'764 fr. en 2021) se sont avérés inférieurs à ceux attendus pour le métier de polydesigner 3D pour ces mêmes années, soit 51'301 francs (cf. supra, consid. 2.6.4.1 - 2.6.4.2).</w:t>
      </w:r>
    </w:p>
    <w:p>
      <w:r>
        <w:t>- 50 - A l’inverse, pour les motifs exposés en détail au stade de l’appréciation des preuves (cf. supra, consid. 2.6.2.3), il n’y a pas lieu de retenir, comme le soutiennent les défendeurs et appelants, que la demanderesse – compte tenu de sa formation, de ses aptitudes et de la situation sur le marché du travail de l’époque – aurait pu et dû poursuivre son activité de conseillère en vente automobile et tabler, à long terme, sur une rémunération mensuelle oscillant entre 5000 et 5500 fr. au moins. Pour déterminer la perte de gain passée nette, la juridiction précédente a pris comme point de départ le montant retenu à ce titre dans l’expertise comptable, soit 139'797 fr. (cf. supra, consid. 2.6.4.1), et a retranché de cette valeur la différence existant entre les revenus d’invalide effectivement perçus en 2020 (48'935 fr.) et 2021 (49'764 fr.) et ceux, légèrement plus élevés, qui auraient pu être obtenus comme polydesigner 3D, soit "52'078 fr." (recte : 51'301 fr.) durant ces deux mêmes années (cf. jugement entrepris, consid. 6.2.2, p. 39), parvenant ainsi à la somme de 134'340 fr. (139'797 fr. – [{52'078 fr. x 2}] – {48'935 fr. + 49'764 fr.}]). Il convient toutefois d’effectuer une correction, dans la mesure où il s’agit de revenus annuels bruts, de sorte que les cotisations sociales déterminantes – de 12,37 % en 2020 et de 12,40 % en 2021 (cf. supra, consid. 2.6.4.1 - 2.6.4.2) – devaient être déduites (cf. tableau ci-après) pour parvenir à un montant net, seul pertinent : année revenu brut effectif d’invalide revenu net (après déduction des cotisations sociales) revenu brut de polydesigner revenu net (après déduction des cotisations sociales) 2021 48'935.- 42'882.- (- 12.37%) 51'301.- 44'955.- (- 12.37 %) 2022 49'764.- 43'593.- (- 12.40 %) 51'301.- 44'939.- (- 12.40 %)</w:t>
      </w:r>
    </w:p>
    <w:p>
      <w:r>
        <w:t>La perte de gain passée nette se monterait ainsi à 136'378 fr. (139'797 fr. – [{44'955 fr.+ 44'939 fr.} - {42'882 fr. + 43'593 fr.}]).</w:t>
      </w:r>
    </w:p>
    <w:p>
      <w:r>
        <w:rPr>
          <w:b/>
        </w:rPr>
        <w:t>E. 4.2.3</w:t>
      </w:r>
    </w:p>
    <w:p>
      <w:r>
        <w:t>Pour ce qui est de la perte de gain future, soit celle courant depuis le 1er janvier 2022, il a été arrêté en fait que le revenu d’invalide déterminant à prendre en considération était celui pour l’activité de polydesigner 3D – correspondant à la profession dans laquelle la demanderesse s’était reconvertie – et non celui de conseillère en vente automobile, métier qu’elle n’a exercé que temporairement après</w:t>
      </w:r>
    </w:p>
    <w:p>
      <w:r>
        <w:t>- 51 - une période de chômage, mais ne correspondant pas à ses aptitudes et aux formations suivies (cf. supra, consid. 2.6.2.3). La différence – nette – entre le revenu futur de valide (comme ébéniste) et celui d’invalide (comme polydesigner 3D), tenant compte des évolutions prévisibles de salaire, pour la période courant du 1er janvier 2022 jusqu’en 2052 – année au cours de laquelle la demanderesse arrivera à l’âge légal de la retraite –, se monte à 289'469 fr., conformément aux calculs jugés probants de l’expertise judiciaire (cf. supra, consid. 2.6.4.3). La perte de gain future nette est dès lors arrêtée à ce montant, comme retenu à bon droit dans le premier jugement (cf. consid. 6.2.2, p. 39).</w:t>
      </w:r>
    </w:p>
    <w:p>
      <w:r>
        <w:rPr>
          <w:b/>
        </w:rPr>
        <w:t>E. 4.2.4</w:t>
      </w:r>
    </w:p>
    <w:p>
      <w:r>
        <w:t>Le dommage de rentes correspond à la différence entre, d’une part, les prestations de vieillesse que la lésée aurait perçues après sa retraite si elle avait pu continuer d'exercer son activité lucrative (in casu, d’ébéniste) et, d’autre part, les prestations de vieillesse et d'invalidité qu'elle percevra effectivement (en l’espèce, pour une profession de polydesigner 3D notamment). Le total des prestations que la lésée aurait perçues doit être évalué ; il se situe entre 50 et 80 % de la rémunération hypothétique brute qui aurait précédé son départ à la retraite (cf. ATF 129 III 135 consid.</w:t>
      </w:r>
    </w:p>
    <w:p>
      <w:r>
        <w:rPr>
          <w:b/>
        </w:rPr>
        <w:t>E. 4.2.5</w:t>
      </w:r>
    </w:p>
    <w:p>
      <w:r>
        <w:t>Au final, l’ensemble des postes qui précèdent, réexaminés en instance d’appel, totaliserait la somme de 448'149 fr. (136'378 fr. [perte de gain passée] + 289'469 fr. [perte de gain future] + 22'302 fr. [dommage de rente]), qui est de 2038 fr. supérieure à</w:t>
      </w:r>
    </w:p>
    <w:p>
      <w:r>
        <w:t>- 52 - celle retenue par la juridiction précédente, soit 446'111 fr. (134'340 fr. + 289'469 fr. + 22'302 francs). Dans la mesure où la demanderesse, au terme de sa réponse et appel joint (pour sa part déclaré irrecevable [cf. supra, consid. 1.3.2.2]), se contentait de réclamer paiement de la somme de 446'111 fr., il n’y a pas lieu d’aller au-delà, à peine de statuer "ultra petita". En l’absence de critiques sur ces points, il convient également de confirmer le jugement de première instance (cf. consid. 6.2.2, p. 39 in fine), en tant qu’il assortit la somme de 446'111 fr. d’intérêts (compensatoires) au taux de 5 % l’an dès le 4 octobre 2008 – correspondant à la date de l’événement dommageable – et la met à la charge des treize codéfendeurs, solidairement entre eux (cf. art. 50 al. 1 CO), dans la mesure où tous sont coresponsables du dommage.</w:t>
      </w:r>
    </w:p>
    <w:p>
      <w:r>
        <w:rPr>
          <w:b/>
        </w:rPr>
        <w:t>E. 5</w:t>
      </w:r>
    </w:p>
    <w:p>
      <w:r>
        <w:t>Les trois défendeurs ayant appelé du jugement de première instance se plaignent de l’ampleur de l’indemnité pour tort moral allouée à la demanderesse dans ce cadre, soit 12'000 fr. (avec intérêts à 5 % l’an dès le 4 octobre 2008), qu’ils jugent excessive, admettant au mieux un montant de 4000 fr., avec accessoires. Pour les défendeurs V _________ et U _________, la demanderesse a subi une lésion ligamentaire au poignet gauche ainsi qu’un "léger stress post-traumatique", de sorte que le montant de 12'000 fr. apparaît par trop élevé pour des lésions corporelles et correspond davantage à l’indemnité accordée pour des atteintes plus graves, notamment à des victimes de violences sexuelles (appel des prénommés, p. 14 s.). Le défendeur T _________ abonde dans le même sens ; se référant notamment au Guide de l'Office fédéral de la justice relatif à la fixation du montant de la réparation morale selon la loi sur l'aide aux victimes, qui prévoit différentes fourchettes en fonction de la gravité des atteintes subies, il fait valoir qu’il n’y a "pas eu de lésions occasionnées à des organes (rate, foie, yeux) qui auraient nécessité un processus de guérison plus lent", et que l’événement n’a pas entraîné de "répercussion dramatique" sur la vie privée de la demanderesse, sachant par ailleurs que cette dernière était très jeune et n’avait obtenu son CFC d’ébéniste "que quelques semaines avant la survenance de l’agression" (appel du précité, p. 35 ss, spéc. p. 37 ss).</w:t>
      </w:r>
    </w:p>
    <w:p>
      <w:r>
        <w:rPr>
          <w:b/>
        </w:rPr>
        <w:t>E. 5.1.1</w:t>
      </w:r>
    </w:p>
    <w:p>
      <w:r>
        <w:t>En vertu de l'art. 47 CO, le juge peut, en tenant compte de circonstances particulières, allouer à la victime de lésions corporelles une indemnité équitable à titre de réparation morale. Les circonstances particulières évoquées dans la norme</w:t>
      </w:r>
    </w:p>
    <w:p>
      <w:r>
        <w:t>- 53 - consistent dans l'importance de l'atteinte à la personnalité du lésé, l'art. 47 CO étant un cas d'application de l'art. 49 CO (ATF 141 III 97 consid. 11.2 et les réf.).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 arrêt 4A_82/2023 du 8 août 2023 consid. 5.1). Un comportement intentionnel de l’auteur, ou résultant d’une négligence grave, augmente l’inconfort de la victime, avant tout lorsque l’intéressé a agi de manière imprudente, insouciante ou insensée (LANDOLT, Genugtuungsrecht, Systematische Gesamtdarstel- lung und Kasuistik, 2e éd. 2021, no 462, p. 131).</w:t>
      </w:r>
    </w:p>
    <w:p>
      <w:r>
        <w:rPr>
          <w:b/>
        </w:rPr>
        <w:t>E. 5.1.2</w:t>
      </w:r>
    </w:p>
    <w:p>
      <w:r>
        <w:t>L'indemnité allouée doit être équitable (ATF 141 III 97 consid. 11.2 ; 130 III 699 consid. 5.1). Le juge en proportionnera donc le montant à la gravité de l'atteinte subie et il évitera que la somme accordée n'apparaisse dérisoire à la victime (ATF 129 IV 22 consid. 7.2 ; arrêt 6B_58/2016 du 18 août 2016 consid. 4.2). La comparaison avec d'autres affaires doit se faire avec prudence, dès lors que le tort moral touche aux sentiments d'une personne déterminée dans une situation donnée et que chacun réagit différemment au malheur qui le frappe. Cela étant, une comparaison n'est pas dépourvue d'intérêt et peut être, suivant les circonstances, un élément utile d'orientation (ATF 138 III 337 consid. 6.3.3). Le juge veillera à adapter ces précédents aux circonstances actuelles pour tenir compte de la dépréciation de la monnaie (arrêt 6B_58/2016 précité consid. 4.2 et la réf.). A titre d’exemple, un montant de 10'000 fr. a été alloué à la victime de lésions corporelles graves subies dans le cadre d'une rixe, ayant nécessité une opération deux ans après les faits en raison de complications de la fracture initiale et ayant entraîné un lourd traitement médical et physiothérapeutique, plusieurs mois d'incapacité de travail et un trouble anxieux généralisé de même qu'un stress post-traumatique (cf. arrêt 6B_405/2012 du 7 janvier 2013). Quant au Guide de l'Office fédéral de la justice (OFJ) relatif à la fixation du montant de la réparation morale selon la loi sur l'aide aux victimes (dans sa dernière version du 3 octobre 2019, disponible sur https://www.newsd.admin.ch/newsd/message/attach- ments/76987.pdf), il prévoit des montants (p. 10) :</w:t>
      </w:r>
    </w:p>
    <w:p>
      <w:r>
        <w:t>- 54 - - jusqu’à 5000 fr. pour les atteintes corporelles non négligeables, en voie de guérison (telles que fractures ou commotions cérébrales), ou les atteintes de peu de gravité avec circonstances aggravantes (fourchette no 1) ; - entre 5000 et 10'000 fr. pour les atteintes corporelles à la guérison plus lente et plus complexe avec séquelles tardives éventuelles, telles que des opérations, longues réhabilitations, dégradation de la vue, paralysie intestinale, sensibilité accrue aux infections (fourchette n° 2) ; - entre 10’000 et 20’000 fr. pour les atteintes corporelles avec séquelles durables, telles que la perte d’un doigt, de l’odorat ou du goût (fourchette n° 3) ; - enfin, entre 20'000 et 50’000 fr. pour les atteintes corporelles graves avec séquelles permanentes et traumatisme psychique sévère dus à des actes d’une violence exceptionnelle, telles que les cicatrices aliénantes, traumatisme crânien sévère, perte d’un œil, d’un bras ou d’une jambe, lésions critiques et douloureuses de la colonne vertébrale ou perte de l’ouïe (fourchette n° 4).</w:t>
      </w:r>
    </w:p>
    <w:p>
      <w:r>
        <w:rPr>
          <w:b/>
        </w:rPr>
        <w:t>E. 5.2</w:t>
      </w:r>
    </w:p>
    <w:p>
      <w:r>
        <w:t>En l’espèce, il est établi que, consécutivement à l’altercation survenue le 4 octobre 2008, la demanderesse a connu une période d’incapacité totale de travailler du 4 octobre au 2 novembre 2008, puis – après avoir débuté son activité comme ébéniste chez Gilles Broccard le 3 novembre 2008 – du 12 février 2009 au 30 juillet suivant, ayant subi dans l’intervalle, le 2 mars 2009, une intervention pour une lésion du ligament triangulaire du carpe gauche (TFCC) en lien de causalité avec l’agression. Si le syndrome du tunnel carpien et l’épicondylite au bras gauche diagnostiqués en 2015 ne sont pas la conséquence directe de l’événement du 4 octobre 2008 (cf. supra, consid. 2.4.1 et 2.5.3.1), il n’en demeure pas moins qu’en raison de ce dernier, la demanderesse a connu plusieurs mois d’arrêts de travail entre 2008 et 2009 et a dû, ultérieurement, entamer une reconversion professionnelle, vu l’incapacité médicalement constatée à pouvoir continuer à exercer à temps complet son métier d’ébéniste. Si l’intéressée venait tout juste de débuter sa carrière en ce domaine, après l’obtention de son CFC, il s’agissait toutefois pour elle d’un "métier passion" (cf. supra, consid. 2.2.1), rendant d’autant plus pénible son reclassement. Par ailleurs, outre les douleurs physiques ressenties, la demanderesse a souffert d’un état de stress post-traumatique (impliquant un sentiment d’angoisse dans des lieux publics), qui n’a commencé à s’estomper qu’au mois de novembre 2010 – soit près de deux ans après l’agression – d’après les constatations du médecin-psychiatre (cf. supra, consid. 2.3.3 in fine).</w:t>
      </w:r>
    </w:p>
    <w:p>
      <w:r>
        <w:t>- 55 - Sous l’angle de la faute des auteurs, celle-ci est très importante : ils ont délibérément bousculé, de manière agressive, la demanderesse alors qu’elle était avec son compagnon et deux amis à la Foire du Valais, avant de se ruer sur elle et de la rouer de coups avec leurs poings, pieds et genoux, ainsi qu’au moyen d’une matraque télescopique et de la crosse d’un pistolet à billes. Les auteurs, agissant en groupe, ont fait preuve d’une violence gratuite et ont encore donné des coups à leur victime alors qu’elle se trouvait à terre (cf. supra, consid. 2.1.1 et jugement pénal du 19 avril 2011, p. 13 ss [pièce 24, p. 65 ss, spéc. p. 77]). En particulier, le défendeur T _________ n’a présenté aucune excuse durant la procédure pénale (cf. jugement pénal du 19 avril 2011, p. 14 [dos., p. 78]). Aucune faute concomitante ne peut être imputée à la demanderesse. Au vu des circonstances concrètes mises en lumière ci-avant, qui entrent dans les prévisions de la fourchette no 2 – voire no 3, vu la persistance de certaines douleurs en 2015 encore (cf. supra, consid. 2.4.1) – du Guide de l’OFJ, et présentent une certaine similitude avec l’arrêt 6B_405/2012 rendu il y a plus de dix ans (de sorte que le montant alloué doit être actualisé pour tenir compte du renchérissement), l’autorité d’appel estime qu’une indemnité de 12'000 fr., plus intérêts compensatoires à 5 % l’an dès le 4 octobre 2008, apparaît comme propre à compenser quelque peu la douleur éprouvée par la partie plaignante, sans pour autant apparaître dérisoire. Du fait de la participation de l’ensemble des défendeurs à l’agression du 4 octobre 2008, la mise à leur charge, solidairement entre eux (cf. art. 50 al. 1 CO), du règlement de cette indemnité, s’impose. Dans son résultat, la solution du premier jugement (cf. consid. 6.2.3, p. 40 s.) doit ainsi être confirmée.</w:t>
      </w:r>
    </w:p>
    <w:p>
      <w:r>
        <w:rPr>
          <w:b/>
        </w:rPr>
        <w:t>E. 6</w:t>
      </w:r>
    </w:p>
    <w:p>
      <w:r>
        <w:t>Il reste à statuer sur les frais.</w:t>
      </w:r>
    </w:p>
    <w:p>
      <w:r>
        <w:rPr>
          <w:b/>
        </w:rPr>
        <w:t>E. 6.1.1</w:t>
      </w:r>
    </w:p>
    <w:p>
      <w:r>
        <w:t>Aux termes de l'art. 106 al. 1 CPC, les frais – par quoi il faut entendre les frais judiciaires et les dépens (art. 95 al. 1 CPC) – sont mis à la charge de la partie succombante. La partie qui succombe est celle dont les conclusions sont rejetées, soit le demandeur dont les prétentions sont écartées ou le défendeur qui est condamné dans le sens des conclusions de son adversaire (TAPPY, op. cit., n. 12 ad art. 106 CPC). La perte du procès peut aussi découler d’un motif procédural, par exemple lorsque les prétentions d’une partie sont déclarées irrecevables (STOUDMANN, in Chabloz et al. [éd.], Code de procédure civile, Petit commentaire, 2021, n. 5 ad art. 106 CPC).</w:t>
      </w:r>
    </w:p>
    <w:p>
      <w:r>
        <w:t>- 56 -</w:t>
      </w:r>
    </w:p>
    <w:p>
      <w:r>
        <w:rPr>
          <w:b/>
        </w:rPr>
        <w:t>E. 6.1.2</w:t>
      </w:r>
    </w:p>
    <w:p>
      <w:r>
        <w:t>Eu égard au sort des deux appels principaux, intégralement rejetés dans la mesure de leur recevabilité, et de l’appel joint, déclaré irrecevable, les frais de première instance – dont le montant, par 60'000 fr. au total (cf. jugement entrepris, consid. 7.1.2, p. 42), n’est pas critiqué – n’ont pas à être revus. Il s’ensuit la confirmation pure et simple du chiffre 4 du dispositif du jugement de première instance (cf. supra, consid. B).</w:t>
      </w:r>
    </w:p>
    <w:p>
      <w:r>
        <w:rPr>
          <w:b/>
        </w:rPr>
        <w:t>E. 6.1.3</w:t>
      </w:r>
    </w:p>
    <w:p>
      <w:r>
        <w:t>Les règles des art. 106 ss CPC s'appliquent à la répartition des frais en première comme en deuxième instance. En cas de procès à plusieurs parties, le tribunal doit déterminer la part de chacune aux frais du procès (cf. art. 106 al. 3 CPC). A cet égard, le tribunal dispose d’une large liberté d’appréciation (arrêt 5A_368/2016 du 7 novembre 2016 consid. 4.1), d’autant que la loi ne fixe guère de critères (TAPPY, op. cit., n. 35 ad art. 106 CPC ; STOUDMANN, op. cit., n. 22 ad art. 106 CPC). En cas de consorité simple, la participation aux frais du procès se calcule par rapport aux conclusions individuelles. Si des décisions différentes sont prononcées contre plusieurs consorts, ceux-ci ne peuvent pas être simplement tenus de supporter les frais solidairement (STOUDMANN, op. cit., n. 25 ad art. 106 CPC ; cf. ég. arrêt 4A_444/2017 du 12 avril 2018 consid. 6.3). L'émolument d'appel est calculé par référence au barème applicable en première instance (cf. not. art. 16 LTar), compte tenu d'un éventuel coefficient de réduction de 60 % au maximum (art. 19 LTar). Les critères de fixation des frais en première et en seconde instance sont identiques (cf. art. 13 al. 1 LTar). Le degré de difficulté de la cause et son ampleur doivent être qualifiés de sortant quelque peu de l’ordinaire. Aussi, eu égard à la valeur litigieuse déterminante en appel de 454'111 fr. (446'111 fr. + [12'000 fr. – 4000 fr. {montant du tort moral reconnu}]), de la fourchette prévue dans la LTar (de 9000 fr. à 42'000 fr. selon l’art. 16 al. 1, lorsque la valeur litigieuse oscille entre 200'001 fr. et 500'000 fr. ; possibilité de réduction de 60 % en appel d’après l’art. 19 al. 1 LTar), à la situation pécuniaire des parties, aux principes de la couverture des frais et de l'équivalence des prestations, notamment, l'émolument de justice est fixé à 20’000 fr., et prélevé sur les avances de 10'000 fr. l’une effectuées par les défendeurs V _________ et U _________ d’une part, et T _________ d’autre part. Si l’appel commun des défendeurs V _________ et U _________ était davantage succinct que celui du défendeur T _________, le temps consacré par l’autorité d’appel à l’examen de leurs griefs respectifs a été quasi-similaire. L’analyse de l’appel joint de la demanderesse, sous l’angle de la recevabilité, a quant à elle nécessité de rappeler</w:t>
      </w:r>
    </w:p>
    <w:p>
      <w:r>
        <w:t>- 57 - préalablement les conclusions formulées par les différentes parties en cours de procédure ainsi qu’un certain nombre de principes juridiques (cf. supra, consid. A à D et consid. 1.3 ss). Dans ces conditions, les frais d’appel, par 20'000 fr., sont mis à la charge : - du défendeur T _________ à hauteur de 8000 fr. (20'000 fr. x 40 %) ; - des défendeurs V _________ et U _________, solidairement entre eux dans la mesure où ils ont interjeté appel en commun, à concurrence de 8000 fr. (20'000 fr. x 40 %) ; - de la demanderesse à raison de 4000 fr. (20'000 fr. x 20%). La demanderesse versera par ailleurs, à titre de restitution des avances de frais effectuées pour la procédure d’appel (cf. art. 111 al. 2 CPC), 2000 fr. (10'000 fr. – 8000 fr.) au défendeur T _________ et 2000 fr. également aux défendeurs V _________ et U _________, créanciers solidaires (10'000 fr. – 8000 francs).</w:t>
      </w:r>
    </w:p>
    <w:p>
      <w:r>
        <w:rPr>
          <w:b/>
        </w:rPr>
        <w:t>E. 6.2.1</w:t>
      </w:r>
    </w:p>
    <w:p>
      <w:r>
        <w:t>Les appels ayant été rejetés et l’appel joint déclaré irrecevable, il convient, en l’absence de contestation à leur propos, de confirmer également les indemnités à titre de dépens, telles que fixées dans le premier jugement (cf. consid. 7.2.3 - 7.2.4, p. 44 ss) et reprises sous chiffres 5 à 10 de son dispositif (cf. supra, consid. B). Ainsi, T _________, C _________, H _________, U _________, E _________, V _________, D _________, F _________, G _________ et I _________, débiteurs solidaires, verseront à Z _________ une indemnité de 16’000 fr. à titre de dépens pour la procédure de première instance. De son côté, la demanderesse versera, au même titre, 5100 fr. à T _________, 9600 fr. à W _________, 10'000 fr. à Y _________ et 10'511 fr. 10 à X _________. La demanderesse versera également à l’Etat du Valais un montant de 16'600 fr. à titre de remboursement des acomptes versés en par celui-ci, en cours de procédure, à W _________ (8900 fr.) et Y _________ (7700 fr.) en application de l’art. 9a OAJ.</w:t>
      </w:r>
    </w:p>
    <w:p>
      <w:r>
        <w:rPr>
          <w:b/>
        </w:rPr>
        <w:t>E. 6.2.2</w:t>
      </w:r>
    </w:p>
    <w:p>
      <w:r>
        <w:t>Pour les contestations civiles de nature pécuniaire, soumises à la procédure ordinaire ou simplifiée et tranchées en première instance, les honoraires varient entre 22'700 fr. et 30'500 fr. pour une valeur litigieuse comprise entre 450'001 fr. 500'000 fr.</w:t>
      </w:r>
    </w:p>
    <w:p>
      <w:r>
        <w:t>- 58 - (cf. art. 32 al. 1 LTar). Conformément à l’art. 27 al. 1 LTar, les honoraires sont fixés entre un minimum et un maximum prévus par le présent chapitre, d'après la nature et l'importance de la cause, ses difficultés, l'ampleur du travail, le temps utilement consacré par le conseil juridique, et la situation financière de la partie. Pour la procédure d’appel, il est tenu compte d’un coefficient de réduction de 60 % (cf. art. 35 al. 1 let. a LTar). Enfin, que la procédure se trouve en première ou seconde instance cantonale, l’art. 29 al. 2 LTar dispose que lorsqu'il y a une disproportion manifeste entre la valeur litigieuse et l'intérêt des parties au procès ou entre la rémunération due d'après le présent tarif et le travail effectif du conseil juridique, l'autorité peut ramener les honoraires au-dessous du minimum prévu.</w:t>
      </w:r>
    </w:p>
    <w:p>
      <w:r>
        <w:rPr>
          <w:b/>
        </w:rPr>
        <w:t>E. 6.2.2.1</w:t>
      </w:r>
    </w:p>
    <w:p>
      <w:r>
        <w:t>Les trois défendeurs ayant formé appel voyant celui-ci rejeté, ils ne peuvent prétendre à une indemnité de la part de la demanderesse, si ce n’est en tant qu’ils se sont déterminés sur l’appel joint de cette dernière, déclaré irrecevable (cf. supra, consid. 1.3.3.2). L’écriture de deux pages déposée le 22 janvier 2024 pour le compte des défendeurs V _________ et U _________ ne consacre toutefois que quelques lignes à l’appel joint de la demanderesse et ne tend pas même à le déclarer irrecevable. Dans ces circonstances, aucune indemnité à titre de dépens ne saurait être fixée en leur faveur. Quant à la réponse de quatre pages produite le 22 janvier 2024 aussi, mais au nom du défendeur T _________, elle comprenait des conclusions pour le moins étonnantes, puisque la première tendait à ce que le point 1 de l’appel joint de la demanderesse – partie qu’il n’était pas supposée soutenir – soit admis (cf. supra, consid. 1.3.3.2). Compte tenu de l’issue de l’appel joint et de sa position procédurale bancale à ce propos, le défendeur T _________ ne peut prétendre à une quelconque indemnité de la part de la demanderesse.</w:t>
      </w:r>
    </w:p>
    <w:p>
      <w:r>
        <w:rPr>
          <w:b/>
        </w:rPr>
        <w:t>E. 6.2.2.2</w:t>
      </w:r>
    </w:p>
    <w:p>
      <w:r>
        <w:t>Cette dernière a, le 5 décembre 2023, adressé au Tribunal cantonal une écriture intitulée "réponse avec appel joint" : quatre pages y étaient dévolues aux appels de V _________ et U _________, respectivement de T _________, et trois autres à son propre appel joint. Si l’intéressée ne peut être indemnisée pour ce dernier, déclaré irrecevable, elle peut en revanche prétendre à l’allocation de dépens pour la réponse aux appels, lesquels ont au final été rejetés, si bien que pour ce pan de la procédure, elle a le statut de partie victorieuse. Vu cette activité en instance d’appel et les autres critères rappelés ci-avant (cf. supra, consid. 6.2.2), l’indemnité à titre de dépens due à la demanderesse est arrêtée à 2000</w:t>
      </w:r>
    </w:p>
    <w:p>
      <w:r>
        <w:t>- 59 - fr., TVA et débours (frais postaux et de copie) inclus, et mise à la charge du défendeur T _________ à hauteur de moitié (1000 fr.) et à celles des défendeurs V _________ et U _________, qui ont agi en commun, pour l’autre moitié (1000 fr.), solidairement entre eux.</w:t>
      </w:r>
    </w:p>
    <w:p>
      <w:r>
        <w:rPr>
          <w:b/>
        </w:rPr>
        <w:t>E. 6.2.2.3</w:t>
      </w:r>
    </w:p>
    <w:p>
      <w:r>
        <w:t>Au terme de sa réponse du 4 décembre 2023 de trois pages, le défendeur X _________ a, par la plume de son avocate, sollicité le rejet des deux appels principaux et produit une liste de frais, pour un total de 1091 fr. 30, correspondant à 3h30 d’activités (lecture des appels et élaboration de l’écriture valant réponse), ainsi qu’à 41 fr. 30 de débours (frais postaux et de copie). L’intéressé a encore produit, le 11 janvier 2024, une détermination de deux pages et demie en lien avec l’appel joint de la demanderesse, dont il a requis le rejet. Eu égard à ces activités, aux conséquences financières non négligeables en jeu si les appels et l’appel joint avaient été admis à son encontre, ainsi qu’aux autres critères énumérés ci-avant (cf. supra, consid. 6.2.2), en particulier l’art. 29 al. 2 LTar, l’indemnité à titre de dépens à laquelle peut prétendre en plein le défendeur X _________ est arrêtée à 1800 fr., TVA et débours compris. Vu le sort des frais d’appel (cf. supra, consid. 6.1.3), cette indemnité est mise à la charge : - du défendeur T _________ à hauteur de 720 fr. (1800 fr. x 40 %) ; - des défendeurs V _________ et U _________, solidairement entre eux dans la mesure où ils ont interjeté un appel commun, à concurrence de 720 fr. (20'000 fr. x 40 %) ; - de la demanderesse à raison de 360 fr. (1800 fr. x 20%).</w:t>
      </w:r>
    </w:p>
    <w:p>
      <w:r>
        <w:rPr>
          <w:b/>
        </w:rPr>
        <w:t>E. 6.2.2.4</w:t>
      </w:r>
    </w:p>
    <w:p>
      <w:r>
        <w:t>Le défendeur Y _________ a, le 11 décembre 2023, déposé une réponse d’une trentaine de pages, dont la moitié reprenait, peu ou prou, des arguments déjà développés dans la plaidoirie finale de première instance (p. 1262 ss). A l’issue de sa réponse, il a conclu, outre à l’octroi de l’assistance judiciaire (TCV C2 23 92), à l’irrecevabilité de l’appel de T _________ et de l’appel joint de la demanderesse (subsidiairement, leur rejet) et au constat qu’il n’était pas concerné par l’appel de V _________ et U _________ (cf. supra, consid. C). Etait joint à cette écriture un décompte de frais, laissant apparaître 13h10 d’activités (au tarif horaire de 360 fr., plus TVA) et 407 fr. 80 de débours justifiés (frais de copie et postaux).</w:t>
      </w:r>
    </w:p>
    <w:p>
      <w:r>
        <w:t>- 60 - Vu l’issue de la procédure d’appel, le défendeur Y _________ peut prétendre à des pleins dépens, calculés selon le tarif applicable aux causes plaidées par un avocat de choix (cf. arrêt 5A_85/2017 du 19 juin 2017 consid. 8 et les réf., in RSPC 2017 p. 410 ss) et supportés par la ou les partie(s) qui succombe(nt) (TAPPY, op. cit., n. 14 ad art. 122 CPC), et non à ce que son conseil soit rémunéré par l’Etat au tarif de l’assistance judiciaire (cf. art. 30 al. 1 LTar). Compte tenu des opérations utiles effectuées par l’homme de loi du défendeur Y _________, estimées à un peu plus de treize heures, du nombre de parties auxquelles il devait faire face, et des autres facteurs déjà énoncés ci-dessus, dont celui tiré de l’art. 29 al. 2 LTar (cf. supra, consid. 6.2.2), l’indemnité à titre de pleins dépens est fixée, en plein, à (montant arrondi), 4400 fr., TVA et débours justifiés – par 407 fr. 80 – compris. Pour les mêmes motifs que ceux exposés en lien avec le défendeur X _________ (cf. supra, consid. 6.2.2.3), cette indemnité sera supportée par : - le défendeur T _________ à hauteur de 1760 fr. (4400 fr. x 40 %) ; - les défendeurs V _________ et U _________, solidairement entre eux, à concurrence de 1760 fr. (4400 fr. x 40 %) ; - la demanderesse à raison de 880 fr. (4400 fr. x 20%).</w:t>
      </w:r>
    </w:p>
    <w:p>
      <w:r>
        <w:rPr>
          <w:b/>
        </w:rPr>
        <w:t>E. 6.2.2.5</w:t>
      </w:r>
    </w:p>
    <w:p>
      <w:r>
        <w:t>Le défendeur W _________ a, le 7 décembre 2023 par l’entremise de son avocat, élaboré une réponse de 14 pages aux appels interjetés par T _________ d’une part, et V _________ et U _________, d’autre part, sollicitant leur rejet, dans la mesure de la recevabilité ; il a également requis, par écriture séparée du même jour, d’être mis au bénéfice de l’assistance judiciaire dans le cadre de la procédure d’appel (TCV C2 23 82). Il s’est encore déterminé sur quatre pages, le 19 janvier 2024, sur l’appel joint de la demanderesse qui lui avait été communiqué dans l’intervalle, concluant à ce qu’il soit déclaré irrecevable, subsidiairement soit rejeté, avec suite de frais. L’activité utilement déployée par le mandataire du défendeur W _________ étant largement similaire à celle abattue par son confrère actif pour le compte de Y _________ (cf. supra, consid. 6.2.2.4) l’indemnité en plein à titre de dépens est également arrêtée à 4400 fr., TVA et débours inclus, et mise à la charge : - du défendeur T _________ à concurrence de 1760 fr. (4400 fr. x 40 %) ;</w:t>
      </w:r>
    </w:p>
    <w:p>
      <w:r>
        <w:t>- 61 - - des défendeurs V _________ et U _________, solidairement entre eux, à hauteur de 1760 fr. (4400 fr. x 40 %) ; - de la demanderesse à raison de 880 fr. (4400 fr. x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